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4F1" w14:textId="491141B7" w:rsidR="00160292" w:rsidRDefault="00CE4D38" w:rsidP="00602EA2">
      <w:pPr>
        <w:pStyle w:val="Heading1"/>
      </w:pPr>
      <w:r>
        <w:t xml:space="preserve">One Big Beautiful Bill Act </w:t>
      </w:r>
      <w:r w:rsidR="00232B5C">
        <w:t>Changes for 2025</w:t>
      </w:r>
    </w:p>
    <w:p w14:paraId="0CEF9ABE" w14:textId="5B0AB21C" w:rsidR="00232B5C" w:rsidRDefault="00D926C8">
      <w:r>
        <w:t xml:space="preserve">The One Big Beautiful Bill Act </w:t>
      </w:r>
      <w:r w:rsidR="00C127DD">
        <w:t xml:space="preserve">(OBBBA) </w:t>
      </w:r>
      <w:r>
        <w:t>became law on July 4, 2025</w:t>
      </w:r>
      <w:r w:rsidR="00C60BD2">
        <w:t xml:space="preserve">. It contains numerous changes in federal tax law, some of which </w:t>
      </w:r>
      <w:r w:rsidR="007B0475">
        <w:t xml:space="preserve">are effective for 2025. </w:t>
      </w:r>
      <w:r w:rsidR="00905148">
        <w:t xml:space="preserve">Although </w:t>
      </w:r>
      <w:r w:rsidR="00F6526C">
        <w:t xml:space="preserve">neither </w:t>
      </w:r>
      <w:r w:rsidR="00905148">
        <w:t xml:space="preserve">the </w:t>
      </w:r>
      <w:r w:rsidR="00905148" w:rsidRPr="00A16125">
        <w:rPr>
          <w:i/>
          <w:iCs/>
        </w:rPr>
        <w:t>Annual Federal Tax Refresher</w:t>
      </w:r>
      <w:r w:rsidR="00905148">
        <w:t xml:space="preserve"> </w:t>
      </w:r>
      <w:r w:rsidR="00A16125">
        <w:t xml:space="preserve">(AFTR) </w:t>
      </w:r>
      <w:r w:rsidR="00905148">
        <w:t xml:space="preserve">course </w:t>
      </w:r>
      <w:r w:rsidR="00F6526C">
        <w:t xml:space="preserve">text nor final exam </w:t>
      </w:r>
      <w:r w:rsidR="00905148">
        <w:t>reflect</w:t>
      </w:r>
      <w:r w:rsidR="00BE526C">
        <w:t>s</w:t>
      </w:r>
      <w:r w:rsidR="00905148">
        <w:t xml:space="preserve"> those changes</w:t>
      </w:r>
      <w:r w:rsidR="004658C5">
        <w:t>, it is important that tax preparers</w:t>
      </w:r>
      <w:r w:rsidR="003E293B">
        <w:t xml:space="preserve"> have </w:t>
      </w:r>
      <w:r w:rsidR="006E745F">
        <w:t xml:space="preserve">up-to-date information with which to </w:t>
      </w:r>
      <w:r w:rsidR="00EA6392">
        <w:t>prepare clients’ federal income tax returns.</w:t>
      </w:r>
      <w:r w:rsidR="00F24E98">
        <w:t xml:space="preserve"> The following information addresses those 2025 changes </w:t>
      </w:r>
      <w:r w:rsidR="00A33A47">
        <w:t>and</w:t>
      </w:r>
      <w:r w:rsidR="00F24E98">
        <w:t xml:space="preserve"> include</w:t>
      </w:r>
      <w:r w:rsidR="00030169">
        <w:t>s</w:t>
      </w:r>
      <w:r w:rsidR="00F24E98">
        <w:t>:</w:t>
      </w:r>
    </w:p>
    <w:p w14:paraId="50EE65CF" w14:textId="31E33967" w:rsidR="00F24E98" w:rsidRDefault="003F3CBB" w:rsidP="001D4B43">
      <w:pPr>
        <w:pStyle w:val="ListParagraph"/>
        <w:numPr>
          <w:ilvl w:val="0"/>
          <w:numId w:val="14"/>
        </w:numPr>
      </w:pPr>
      <w:r>
        <w:t>New standard deduction amounts;</w:t>
      </w:r>
    </w:p>
    <w:p w14:paraId="5969E3FD" w14:textId="77777777" w:rsidR="00E0619C" w:rsidRDefault="003F3CBB" w:rsidP="001D4B43">
      <w:pPr>
        <w:pStyle w:val="ListParagraph"/>
        <w:numPr>
          <w:ilvl w:val="0"/>
          <w:numId w:val="14"/>
        </w:numPr>
      </w:pPr>
      <w:r>
        <w:t xml:space="preserve">New </w:t>
      </w:r>
      <w:r w:rsidR="00425712">
        <w:t xml:space="preserve">maximum </w:t>
      </w:r>
      <w:r>
        <w:t>state and local</w:t>
      </w:r>
      <w:r w:rsidR="00425712">
        <w:t xml:space="preserve"> tax (SALT) deduction;</w:t>
      </w:r>
    </w:p>
    <w:p w14:paraId="0DEF8E4D" w14:textId="77777777" w:rsidR="00E0619C" w:rsidRDefault="00E0619C" w:rsidP="001D4B43">
      <w:pPr>
        <w:pStyle w:val="ListParagraph"/>
        <w:numPr>
          <w:ilvl w:val="0"/>
          <w:numId w:val="14"/>
        </w:numPr>
      </w:pPr>
      <w:r>
        <w:t>New senior deduction;</w:t>
      </w:r>
    </w:p>
    <w:p w14:paraId="4C019770" w14:textId="77777777" w:rsidR="003B428D" w:rsidRDefault="00C12799" w:rsidP="001D4B43">
      <w:pPr>
        <w:pStyle w:val="ListParagraph"/>
        <w:numPr>
          <w:ilvl w:val="0"/>
          <w:numId w:val="14"/>
        </w:numPr>
      </w:pPr>
      <w:r>
        <w:t>Increased Child Tax Credit</w:t>
      </w:r>
      <w:r w:rsidR="003B428D">
        <w:t>;</w:t>
      </w:r>
    </w:p>
    <w:p w14:paraId="7A71CDB4" w14:textId="77777777" w:rsidR="001808BA" w:rsidRDefault="001808BA" w:rsidP="001D4B43">
      <w:pPr>
        <w:pStyle w:val="ListParagraph"/>
        <w:numPr>
          <w:ilvl w:val="0"/>
          <w:numId w:val="14"/>
        </w:numPr>
      </w:pPr>
      <w:r>
        <w:t>New tax deduction for tip income;</w:t>
      </w:r>
    </w:p>
    <w:p w14:paraId="52CDB4FC" w14:textId="77777777" w:rsidR="00E170DC" w:rsidRDefault="001808BA" w:rsidP="001D4B43">
      <w:pPr>
        <w:pStyle w:val="ListParagraph"/>
        <w:numPr>
          <w:ilvl w:val="0"/>
          <w:numId w:val="14"/>
        </w:numPr>
      </w:pPr>
      <w:r>
        <w:t>New tax deduction for overtime pay;</w:t>
      </w:r>
    </w:p>
    <w:p w14:paraId="4A4358C5" w14:textId="77777777" w:rsidR="00E170DC" w:rsidRDefault="00E170DC" w:rsidP="001D4B43">
      <w:pPr>
        <w:pStyle w:val="ListParagraph"/>
        <w:numPr>
          <w:ilvl w:val="0"/>
          <w:numId w:val="14"/>
        </w:numPr>
      </w:pPr>
      <w:r>
        <w:t>New car loan interest deduction; and</w:t>
      </w:r>
    </w:p>
    <w:p w14:paraId="53F1F803" w14:textId="67D07AB3" w:rsidR="00271ED0" w:rsidRDefault="00E170DC" w:rsidP="001D4B43">
      <w:pPr>
        <w:pStyle w:val="ListParagraph"/>
        <w:numPr>
          <w:ilvl w:val="0"/>
          <w:numId w:val="14"/>
        </w:numPr>
      </w:pPr>
      <w:r>
        <w:t xml:space="preserve">Elimination of certain </w:t>
      </w:r>
      <w:r w:rsidR="00221E25">
        <w:t>clean energy incentives</w:t>
      </w:r>
      <w:r w:rsidR="001D4B43">
        <w:t>.</w:t>
      </w:r>
      <w:r w:rsidR="00271ED0">
        <w:t xml:space="preserve"> </w:t>
      </w:r>
    </w:p>
    <w:p w14:paraId="6975509A" w14:textId="602F0036" w:rsidR="0088614A" w:rsidRDefault="0078740D" w:rsidP="00602EA2">
      <w:pPr>
        <w:pStyle w:val="Heading2"/>
      </w:pPr>
      <w:r>
        <w:t>Standard Deduction Made Permanent</w:t>
      </w:r>
    </w:p>
    <w:p w14:paraId="430BB825" w14:textId="2F48B3F8" w:rsidR="0078740D" w:rsidRDefault="00C5187E">
      <w:r>
        <w:rPr>
          <w:rFonts w:cs="Calibri"/>
        </w:rPr>
        <w:t>OBBBA</w:t>
      </w:r>
      <w:r w:rsidR="001E605A">
        <w:rPr>
          <w:rFonts w:cs="Calibri"/>
        </w:rPr>
        <w:t xml:space="preserve">, </w:t>
      </w:r>
      <w:r w:rsidR="0078740D">
        <w:rPr>
          <w:rFonts w:cs="Calibri"/>
        </w:rPr>
        <w:t>§</w:t>
      </w:r>
      <w:r w:rsidR="0078740D">
        <w:t xml:space="preserve">70102 makes </w:t>
      </w:r>
      <w:r w:rsidR="001E605A">
        <w:t xml:space="preserve">permanent </w:t>
      </w:r>
      <w:r w:rsidR="0078740D">
        <w:t>the standard deduction</w:t>
      </w:r>
      <w:r w:rsidR="00D66570">
        <w:t xml:space="preserve"> that was</w:t>
      </w:r>
      <w:r w:rsidR="0078740D">
        <w:t xml:space="preserve"> increased under the Tax Cuts &amp; Jobs Act of 2017 and scheduled to end for tax years after 2025. In addition</w:t>
      </w:r>
      <w:r w:rsidR="00D66570">
        <w:t xml:space="preserve"> to making the standard deduction permanent</w:t>
      </w:r>
      <w:r w:rsidR="0078740D">
        <w:t xml:space="preserve">, the new law increases the </w:t>
      </w:r>
      <w:r w:rsidR="00F14D0F">
        <w:t xml:space="preserve">2025 </w:t>
      </w:r>
      <w:r w:rsidR="0078740D">
        <w:t>standard deduction to:</w:t>
      </w:r>
    </w:p>
    <w:p w14:paraId="7ED4BC0A" w14:textId="23F118D2" w:rsidR="0078740D" w:rsidRDefault="0078740D" w:rsidP="0078740D">
      <w:pPr>
        <w:pStyle w:val="ListParagraph"/>
        <w:numPr>
          <w:ilvl w:val="0"/>
          <w:numId w:val="1"/>
        </w:numPr>
      </w:pPr>
      <w:r>
        <w:t>$31,5</w:t>
      </w:r>
      <w:r w:rsidR="003D3C4D">
        <w:t>0</w:t>
      </w:r>
      <w:r>
        <w:t>0 for married taxpayers filing jointly</w:t>
      </w:r>
      <w:r w:rsidR="00D66570">
        <w:t xml:space="preserve"> and surviving spouses</w:t>
      </w:r>
      <w:r>
        <w:t>;</w:t>
      </w:r>
    </w:p>
    <w:p w14:paraId="61037A1F" w14:textId="798B6CA1" w:rsidR="0078740D" w:rsidRDefault="0078740D" w:rsidP="0078740D">
      <w:pPr>
        <w:pStyle w:val="ListParagraph"/>
        <w:numPr>
          <w:ilvl w:val="0"/>
          <w:numId w:val="1"/>
        </w:numPr>
      </w:pPr>
      <w:r>
        <w:t>$23,625 for taxpayers filing as head of household; and</w:t>
      </w:r>
    </w:p>
    <w:p w14:paraId="002205D8" w14:textId="2090F7AA" w:rsidR="0078740D" w:rsidRDefault="0078740D" w:rsidP="0078740D">
      <w:pPr>
        <w:pStyle w:val="ListParagraph"/>
        <w:numPr>
          <w:ilvl w:val="0"/>
          <w:numId w:val="1"/>
        </w:numPr>
      </w:pPr>
      <w:r>
        <w:t>$15,750 for taxpayers filing as –</w:t>
      </w:r>
    </w:p>
    <w:p w14:paraId="6C557B82" w14:textId="00CBBEC1" w:rsidR="0078740D" w:rsidRDefault="0078740D" w:rsidP="0078740D">
      <w:pPr>
        <w:pStyle w:val="ListParagraph"/>
        <w:numPr>
          <w:ilvl w:val="1"/>
          <w:numId w:val="1"/>
        </w:numPr>
      </w:pPr>
      <w:r>
        <w:t>Single, or</w:t>
      </w:r>
    </w:p>
    <w:p w14:paraId="6DB1D093" w14:textId="0B9C2889" w:rsidR="0078740D" w:rsidRDefault="0078740D" w:rsidP="0078740D">
      <w:pPr>
        <w:pStyle w:val="ListParagraph"/>
        <w:numPr>
          <w:ilvl w:val="1"/>
          <w:numId w:val="1"/>
        </w:numPr>
      </w:pPr>
      <w:r>
        <w:t>Married filing separately</w:t>
      </w:r>
    </w:p>
    <w:p w14:paraId="0AEB6898" w14:textId="21F289E3" w:rsidR="00D66570" w:rsidRDefault="00D66570" w:rsidP="00D66570">
      <w:r>
        <w:t>The increase in the standard deduction is retroactive to 2025 and is adjusted for inflation in years after 2025.</w:t>
      </w:r>
    </w:p>
    <w:p w14:paraId="5D411D88" w14:textId="3DB5FAF3" w:rsidR="00D66570" w:rsidRDefault="00D66570" w:rsidP="00602EA2">
      <w:pPr>
        <w:pStyle w:val="Heading2"/>
      </w:pPr>
      <w:r>
        <w:t>Deduction for State &amp; Local Taxes (SALT Deduction)</w:t>
      </w:r>
    </w:p>
    <w:p w14:paraId="20AD411F" w14:textId="6038E8C4" w:rsidR="00D66570" w:rsidRDefault="00C5187E" w:rsidP="00D66570">
      <w:r>
        <w:rPr>
          <w:rFonts w:cs="Calibri"/>
        </w:rPr>
        <w:t>OBBBA</w:t>
      </w:r>
      <w:r w:rsidR="00A93698">
        <w:rPr>
          <w:rFonts w:cs="Calibri"/>
        </w:rPr>
        <w:t>, §</w:t>
      </w:r>
      <w:r w:rsidR="00A93698">
        <w:t>70120 temporarily increases the deduction for state and local taxes—frequently referred to as the “SALT deduction”—from $10,000 to $40,000 in 2025.</w:t>
      </w:r>
      <w:r w:rsidR="00282F6E">
        <w:t xml:space="preserve"> </w:t>
      </w:r>
      <w:r w:rsidR="009D0BC0" w:rsidRPr="009D0BC0">
        <w:t>The limit increases to $40,400 in 2026</w:t>
      </w:r>
      <w:r w:rsidR="008E496F" w:rsidRPr="008E496F">
        <w:t>. For calendar years after 2026 and before 2030,</w:t>
      </w:r>
      <w:r w:rsidR="00255857" w:rsidRPr="00255857">
        <w:t xml:space="preserve"> the limitation is equal to 101% of the dollar amount in effect in the preceding calendar year.</w:t>
      </w:r>
      <w:r w:rsidR="00FC6D4F" w:rsidRPr="00FC6D4F">
        <w:t xml:space="preserve"> The </w:t>
      </w:r>
      <w:r w:rsidR="0077384D" w:rsidRPr="00FC6D4F">
        <w:t>SALT</w:t>
      </w:r>
      <w:r w:rsidR="00FC6D4F" w:rsidRPr="00FC6D4F">
        <w:t xml:space="preserve"> limitation</w:t>
      </w:r>
      <w:r w:rsidR="006775B0" w:rsidRPr="006775B0">
        <w:t xml:space="preserve"> for 2030 and later </w:t>
      </w:r>
      <w:r w:rsidR="00DD367C">
        <w:t>revert</w:t>
      </w:r>
      <w:r w:rsidR="006775B0" w:rsidRPr="006775B0">
        <w:t xml:space="preserve">s </w:t>
      </w:r>
      <w:r w:rsidR="00BB3A49">
        <w:t xml:space="preserve">to its current </w:t>
      </w:r>
      <w:r w:rsidR="006775B0" w:rsidRPr="006775B0">
        <w:t>$10,000.</w:t>
      </w:r>
    </w:p>
    <w:p w14:paraId="298F54B2" w14:textId="01041451" w:rsidR="000435FC" w:rsidRDefault="001A1B97" w:rsidP="00602EA2">
      <w:pPr>
        <w:pStyle w:val="Heading3"/>
      </w:pPr>
      <w:r>
        <w:t>Reduction of Limitation Based on I</w:t>
      </w:r>
      <w:r w:rsidR="004716F7">
        <w:t>ncome</w:t>
      </w:r>
    </w:p>
    <w:p w14:paraId="5BF6F85A" w14:textId="0EEFBB9F" w:rsidR="004716F7" w:rsidRDefault="001F49E3" w:rsidP="00D66570">
      <w:r w:rsidRPr="001F49E3">
        <w:t xml:space="preserve">The </w:t>
      </w:r>
      <w:r w:rsidR="00C71ED3" w:rsidRPr="001F49E3">
        <w:t>SALT</w:t>
      </w:r>
      <w:r w:rsidRPr="001F49E3">
        <w:t xml:space="preserve"> limitation is reduced</w:t>
      </w:r>
      <w:r w:rsidR="00570456" w:rsidRPr="00570456">
        <w:t xml:space="preserve"> </w:t>
      </w:r>
      <w:r w:rsidR="00365231">
        <w:t>for</w:t>
      </w:r>
      <w:r w:rsidR="00570456" w:rsidRPr="00570456">
        <w:t xml:space="preserve"> taxpayers with incomes in excess of</w:t>
      </w:r>
      <w:r w:rsidR="005F1824">
        <w:t xml:space="preserve"> </w:t>
      </w:r>
      <w:r w:rsidR="005F1824" w:rsidRPr="005F1824">
        <w:t>$500,000</w:t>
      </w:r>
      <w:r w:rsidR="000B6120">
        <w:t xml:space="preserve"> ($250,000</w:t>
      </w:r>
      <w:r w:rsidR="000B6120" w:rsidRPr="00D11542">
        <w:t xml:space="preserve"> </w:t>
      </w:r>
      <w:r w:rsidR="000B6120">
        <w:t>i</w:t>
      </w:r>
      <w:r w:rsidR="000B6120" w:rsidRPr="00D11542">
        <w:t>n the case of a married taxpayer filing a separate return</w:t>
      </w:r>
      <w:r w:rsidR="000B6120">
        <w:t>)</w:t>
      </w:r>
      <w:r w:rsidR="005F1824" w:rsidRPr="005F1824">
        <w:t xml:space="preserve">, adjusted </w:t>
      </w:r>
      <w:r w:rsidR="00FD17DD">
        <w:t>by 1% annually</w:t>
      </w:r>
      <w:r w:rsidR="00647C60">
        <w:t>.</w:t>
      </w:r>
      <w:r w:rsidR="00C966D0">
        <w:t xml:space="preserve"> </w:t>
      </w:r>
      <w:r w:rsidR="000F57EE">
        <w:t>The reduction in the SALT limitation is</w:t>
      </w:r>
      <w:r w:rsidR="00C966D0">
        <w:t xml:space="preserve"> 30% of the</w:t>
      </w:r>
      <w:r w:rsidR="00CD5411">
        <w:t xml:space="preserve"> amount by which the applicable MAGI exceed</w:t>
      </w:r>
      <w:r w:rsidR="000F57EE">
        <w:t>s</w:t>
      </w:r>
      <w:r w:rsidR="00CD5411">
        <w:t xml:space="preserve"> the threshold</w:t>
      </w:r>
      <w:r w:rsidR="00F72A4D">
        <w:t>.</w:t>
      </w:r>
      <w:r w:rsidR="00B84CBF">
        <w:t xml:space="preserve"> </w:t>
      </w:r>
      <w:r w:rsidR="00BA4C6F">
        <w:t xml:space="preserve">The </w:t>
      </w:r>
      <w:r w:rsidR="001A0FA2">
        <w:t>SALT limitation</w:t>
      </w:r>
      <w:r w:rsidR="000F292A">
        <w:t>,</w:t>
      </w:r>
      <w:r w:rsidR="001A0FA2">
        <w:t xml:space="preserve"> reduced by the amount of a taxpayer’s MAGI exceeding the applicable threshold</w:t>
      </w:r>
      <w:r w:rsidR="000F292A">
        <w:t>,</w:t>
      </w:r>
      <w:r w:rsidR="008D5DA7">
        <w:t xml:space="preserve"> will never be less than $10,000</w:t>
      </w:r>
      <w:r w:rsidR="005E16A0">
        <w:t>.</w:t>
      </w:r>
    </w:p>
    <w:p w14:paraId="58A4283C" w14:textId="354A9756" w:rsidR="005E16A0" w:rsidRDefault="00377D23" w:rsidP="00602EA2">
      <w:pPr>
        <w:pStyle w:val="Heading2"/>
      </w:pPr>
      <w:r>
        <w:lastRenderedPageBreak/>
        <w:t xml:space="preserve">Most </w:t>
      </w:r>
      <w:r w:rsidR="00B75616">
        <w:t>Personal Exemptio</w:t>
      </w:r>
      <w:r w:rsidR="00D03520">
        <w:t xml:space="preserve">ns </w:t>
      </w:r>
      <w:r w:rsidR="00D73174">
        <w:t>Permanently Eliminated</w:t>
      </w:r>
      <w:r>
        <w:t>, Senior Exemption Authorized</w:t>
      </w:r>
    </w:p>
    <w:p w14:paraId="2D7339EF" w14:textId="6AF8B94E" w:rsidR="00E27AD5" w:rsidRDefault="00C5187E" w:rsidP="00D66570">
      <w:r>
        <w:rPr>
          <w:rFonts w:cs="Calibri"/>
        </w:rPr>
        <w:t>OBBBA</w:t>
      </w:r>
      <w:r w:rsidR="00750BD6">
        <w:rPr>
          <w:rFonts w:cs="Calibri"/>
        </w:rPr>
        <w:t>, §</w:t>
      </w:r>
      <w:r w:rsidR="00750BD6">
        <w:t>701</w:t>
      </w:r>
      <w:r w:rsidR="003E5511">
        <w:t>03</w:t>
      </w:r>
      <w:r w:rsidR="00A5726A">
        <w:t xml:space="preserve"> </w:t>
      </w:r>
      <w:r w:rsidR="00112292">
        <w:t>p</w:t>
      </w:r>
      <w:r w:rsidR="00112292" w:rsidRPr="00112292">
        <w:t>ermanently eliminates the deduction for personal exemptions</w:t>
      </w:r>
      <w:r w:rsidR="006A3D56">
        <w:t>—</w:t>
      </w:r>
      <w:r w:rsidR="00BA3E33">
        <w:t>e</w:t>
      </w:r>
      <w:r w:rsidR="006A3D56" w:rsidRPr="006A3D56">
        <w:t xml:space="preserve">xemptions that were temporarily eliminated under the </w:t>
      </w:r>
      <w:r w:rsidR="00BA3E33">
        <w:t>T</w:t>
      </w:r>
      <w:r w:rsidR="006A3D56" w:rsidRPr="006A3D56">
        <w:t xml:space="preserve">ax </w:t>
      </w:r>
      <w:r w:rsidR="00BA3E33">
        <w:t>C</w:t>
      </w:r>
      <w:r w:rsidR="006A3D56" w:rsidRPr="006A3D56">
        <w:t>uts and J</w:t>
      </w:r>
      <w:r w:rsidR="00BA3E33">
        <w:t>obs</w:t>
      </w:r>
      <w:r w:rsidR="006A3D56" w:rsidRPr="006A3D56">
        <w:t xml:space="preserve"> Act</w:t>
      </w:r>
      <w:r w:rsidR="00C06CF4">
        <w:t xml:space="preserve"> of 2017</w:t>
      </w:r>
      <w:r w:rsidR="00BA3E33">
        <w:t>—</w:t>
      </w:r>
      <w:r w:rsidR="008649F1">
        <w:t>but authorizes</w:t>
      </w:r>
      <w:r w:rsidR="00112292" w:rsidRPr="00112292">
        <w:t xml:space="preserve"> a temporary senior deduction</w:t>
      </w:r>
      <w:r w:rsidR="007A7807">
        <w:t xml:space="preserve"> in </w:t>
      </w:r>
      <w:r w:rsidR="00ED0FDE">
        <w:t xml:space="preserve">calendar years </w:t>
      </w:r>
      <w:r w:rsidR="007A7807">
        <w:t>2025</w:t>
      </w:r>
      <w:r w:rsidR="00ED0FDE">
        <w:t xml:space="preserve"> through 2028</w:t>
      </w:r>
      <w:r w:rsidR="00112292" w:rsidRPr="00112292">
        <w:t>.</w:t>
      </w:r>
    </w:p>
    <w:p w14:paraId="5A1B566E" w14:textId="7E29613F" w:rsidR="007A7807" w:rsidRDefault="00416E48" w:rsidP="00D66570">
      <w:r w:rsidRPr="00416E48">
        <w:t>The temporary deduction for seniors is equal to $6</w:t>
      </w:r>
      <w:r w:rsidR="00B018D9">
        <w:t>,</w:t>
      </w:r>
      <w:r w:rsidRPr="00416E48">
        <w:t>000</w:t>
      </w:r>
      <w:r w:rsidR="00B848F0" w:rsidRPr="00B848F0">
        <w:t xml:space="preserve"> for each qualified individual. A qualified individual is defined as an individual who has attained age 65 before the close of the taxable year</w:t>
      </w:r>
      <w:r w:rsidR="00B018D9" w:rsidRPr="00B018D9">
        <w:t>.</w:t>
      </w:r>
      <w:r w:rsidR="0097482A" w:rsidRPr="0097482A">
        <w:t xml:space="preserve"> The deduction for qualified individuals is reduced</w:t>
      </w:r>
      <w:r w:rsidR="007A5912" w:rsidRPr="007A5912">
        <w:t xml:space="preserve">, but not below </w:t>
      </w:r>
      <w:r w:rsidR="00FD751A">
        <w:t>zero</w:t>
      </w:r>
      <w:r w:rsidR="007A5912" w:rsidRPr="007A5912">
        <w:t>, by 6% of the taxpayer</w:t>
      </w:r>
      <w:r w:rsidR="00FD751A">
        <w:t>’</w:t>
      </w:r>
      <w:r w:rsidR="007A5912" w:rsidRPr="007A5912">
        <w:t xml:space="preserve">s modified adjusted gross income </w:t>
      </w:r>
      <w:r w:rsidR="00C425A0">
        <w:t xml:space="preserve">(MAGI) </w:t>
      </w:r>
      <w:r w:rsidR="00552F39">
        <w:t>e</w:t>
      </w:r>
      <w:r w:rsidR="00C425A0" w:rsidRPr="00C425A0">
        <w:t>xceeding $75,000</w:t>
      </w:r>
      <w:r w:rsidR="00C425A0">
        <w:t xml:space="preserve"> (</w:t>
      </w:r>
      <w:r w:rsidR="00552F39" w:rsidRPr="00552F39">
        <w:t>$150,000 in the case of a joint return</w:t>
      </w:r>
      <w:r w:rsidR="00552F39">
        <w:t>).</w:t>
      </w:r>
    </w:p>
    <w:p w14:paraId="2E8744DE" w14:textId="202389BE" w:rsidR="00C237A9" w:rsidRDefault="00C237A9" w:rsidP="00602EA2">
      <w:pPr>
        <w:pStyle w:val="Heading2"/>
      </w:pPr>
      <w:r>
        <w:t>Child Tax Credit</w:t>
      </w:r>
    </w:p>
    <w:p w14:paraId="5946C530" w14:textId="40433CF7" w:rsidR="00F1012D" w:rsidRDefault="00C5187E" w:rsidP="00D66570">
      <w:bookmarkStart w:id="0" w:name="_Hlk202882912"/>
      <w:r>
        <w:rPr>
          <w:rFonts w:cs="Calibri"/>
        </w:rPr>
        <w:t>OBBBA</w:t>
      </w:r>
      <w:r w:rsidR="00335D8F">
        <w:rPr>
          <w:rFonts w:cs="Calibri"/>
        </w:rPr>
        <w:t>, §</w:t>
      </w:r>
      <w:r w:rsidR="00335D8F">
        <w:t>7010</w:t>
      </w:r>
      <w:r w:rsidR="00A650E4">
        <w:t>4</w:t>
      </w:r>
      <w:r w:rsidR="00335D8F">
        <w:t xml:space="preserve"> </w:t>
      </w:r>
      <w:bookmarkEnd w:id="0"/>
      <w:r w:rsidR="00FE1772" w:rsidRPr="00FE1772">
        <w:t xml:space="preserve">increases the amount of the nonrefundable child tax credit to $2,200 per child beginning in 2025 and makes </w:t>
      </w:r>
      <w:r w:rsidR="00A61AE2" w:rsidRPr="00FE1772">
        <w:t xml:space="preserve">the refundable </w:t>
      </w:r>
      <w:r w:rsidR="0021351C">
        <w:t xml:space="preserve">part of the </w:t>
      </w:r>
      <w:r w:rsidR="00A61AE2" w:rsidRPr="00FE1772">
        <w:t>child tax credit</w:t>
      </w:r>
      <w:r w:rsidR="00C2284C">
        <w:t xml:space="preserve"> </w:t>
      </w:r>
      <w:r w:rsidR="00607DC3">
        <w:t>(ACTC)</w:t>
      </w:r>
      <w:r w:rsidR="00A61AE2" w:rsidRPr="00FE1772">
        <w:t xml:space="preserve"> </w:t>
      </w:r>
      <w:r w:rsidR="00FE1772" w:rsidRPr="00FE1772">
        <w:t>permanent</w:t>
      </w:r>
      <w:r w:rsidR="0021351C">
        <w:t>.</w:t>
      </w:r>
      <w:r w:rsidR="00FE1772" w:rsidRPr="00FE1772">
        <w:t xml:space="preserve"> </w:t>
      </w:r>
      <w:r w:rsidR="00AA1D3E">
        <w:t xml:space="preserve">Both are </w:t>
      </w:r>
      <w:r w:rsidR="00FE1772" w:rsidRPr="00FE1772">
        <w:t xml:space="preserve">adjusted for inflation. </w:t>
      </w:r>
      <w:r w:rsidR="00E053F3" w:rsidRPr="00E053F3">
        <w:t>When being adjusted for inflation</w:t>
      </w:r>
      <w:r w:rsidR="00F1012D" w:rsidRPr="00F1012D">
        <w:t xml:space="preserve">, any increase that is not a multiple of </w:t>
      </w:r>
      <w:r w:rsidR="00F856D7">
        <w:t>$</w:t>
      </w:r>
      <w:r w:rsidR="00F1012D" w:rsidRPr="00F1012D">
        <w:t xml:space="preserve">100 </w:t>
      </w:r>
      <w:r w:rsidR="00F856D7">
        <w:t xml:space="preserve">must </w:t>
      </w:r>
      <w:r w:rsidR="00F1012D" w:rsidRPr="00F1012D">
        <w:t xml:space="preserve">be rounded to the next lower multiple of </w:t>
      </w:r>
      <w:r w:rsidR="00F856D7">
        <w:t>$</w:t>
      </w:r>
      <w:r w:rsidR="00F1012D" w:rsidRPr="00F1012D">
        <w:t>100.</w:t>
      </w:r>
      <w:r w:rsidR="00F856D7">
        <w:t xml:space="preserve"> </w:t>
      </w:r>
      <w:r w:rsidR="00D4407B" w:rsidRPr="00D4407B">
        <w:t>For example,</w:t>
      </w:r>
      <w:r w:rsidR="00941945" w:rsidRPr="00941945">
        <w:t xml:space="preserve"> an adjustment of $175</w:t>
      </w:r>
      <w:r w:rsidR="00C57F14" w:rsidRPr="00C57F14">
        <w:t xml:space="preserve"> </w:t>
      </w:r>
      <w:r w:rsidR="002A15BE">
        <w:t>a</w:t>
      </w:r>
      <w:r w:rsidR="00C57F14" w:rsidRPr="00C57F14">
        <w:t>s a result of indexing</w:t>
      </w:r>
      <w:r w:rsidR="0009036A" w:rsidRPr="0009036A">
        <w:t xml:space="preserve"> would be rounded to $100.</w:t>
      </w:r>
      <w:r w:rsidR="0009036A">
        <w:t xml:space="preserve"> </w:t>
      </w:r>
    </w:p>
    <w:p w14:paraId="699DC42E" w14:textId="22BA1F12" w:rsidR="00C2284C" w:rsidRDefault="00AA1D3E" w:rsidP="00D66570">
      <w:r>
        <w:t>I</w:t>
      </w:r>
      <w:r w:rsidR="00FE1772" w:rsidRPr="00FE1772">
        <w:t>n addition</w:t>
      </w:r>
      <w:r>
        <w:t>,</w:t>
      </w:r>
      <w:r w:rsidR="004B2CAD">
        <w:t xml:space="preserve"> </w:t>
      </w:r>
      <w:r w:rsidR="0064407E">
        <w:t xml:space="preserve">both </w:t>
      </w:r>
      <w:r w:rsidR="00FE1772" w:rsidRPr="00FE1772">
        <w:t>the income phaseout threshold amounts of $200,000 ($400,000 in the case of a joint return)</w:t>
      </w:r>
      <w:r w:rsidR="004B2CAD">
        <w:t xml:space="preserve"> </w:t>
      </w:r>
      <w:r w:rsidR="00D845B0">
        <w:t xml:space="preserve">and the $500 nonrefundable credit (ODC) </w:t>
      </w:r>
      <w:r w:rsidR="004B2CAD">
        <w:t>are made permanent.</w:t>
      </w:r>
    </w:p>
    <w:p w14:paraId="6D994485" w14:textId="0D9390A6" w:rsidR="00FF2278" w:rsidRDefault="00C373F9" w:rsidP="00602EA2">
      <w:pPr>
        <w:pStyle w:val="Heading2"/>
      </w:pPr>
      <w:r>
        <w:t>Tax on Tips</w:t>
      </w:r>
    </w:p>
    <w:p w14:paraId="5077AA31" w14:textId="21F76579" w:rsidR="008E0AE3" w:rsidRDefault="00C5187E" w:rsidP="00FF2278">
      <w:r>
        <w:rPr>
          <w:rFonts w:cs="Calibri"/>
        </w:rPr>
        <w:t>OBBBA</w:t>
      </w:r>
      <w:r w:rsidR="00785B41">
        <w:rPr>
          <w:rFonts w:cs="Calibri"/>
        </w:rPr>
        <w:t>, §</w:t>
      </w:r>
      <w:r w:rsidR="00785B41">
        <w:t>70</w:t>
      </w:r>
      <w:r w:rsidR="00500208">
        <w:t>2</w:t>
      </w:r>
      <w:r w:rsidR="00785B41">
        <w:t>0</w:t>
      </w:r>
      <w:r w:rsidR="00500208">
        <w:t>1</w:t>
      </w:r>
      <w:r w:rsidR="00E46AD8" w:rsidRPr="00E46AD8">
        <w:t xml:space="preserve"> </w:t>
      </w:r>
      <w:r w:rsidR="004E5F3E">
        <w:t>p</w:t>
      </w:r>
      <w:r w:rsidR="00E46AD8" w:rsidRPr="00E46AD8">
        <w:t>rovides for a tax deduction</w:t>
      </w:r>
      <w:r w:rsidR="004E5F3E" w:rsidRPr="004E5F3E">
        <w:t xml:space="preserve"> for qualified tips</w:t>
      </w:r>
      <w:r w:rsidR="009E78A3">
        <w:t xml:space="preserve"> to taxpayers who itemize deductions and</w:t>
      </w:r>
      <w:r w:rsidR="008A7F41">
        <w:t xml:space="preserve"> to </w:t>
      </w:r>
      <w:r w:rsidR="00CE6612">
        <w:t xml:space="preserve">taxpayers who are </w:t>
      </w:r>
      <w:r w:rsidR="008A7F41">
        <w:t>non-itemizers</w:t>
      </w:r>
      <w:r w:rsidR="004E5F3E" w:rsidRPr="004E5F3E">
        <w:t>.</w:t>
      </w:r>
      <w:r w:rsidR="00CC2448" w:rsidRPr="00CC2448">
        <w:t xml:space="preserve"> The maximum amount of the tax deduction is </w:t>
      </w:r>
      <w:r w:rsidR="00CC2448">
        <w:t>$</w:t>
      </w:r>
      <w:r w:rsidR="00CC2448" w:rsidRPr="00CC2448">
        <w:t xml:space="preserve">25,000 </w:t>
      </w:r>
      <w:r w:rsidR="00EE21FA">
        <w:t xml:space="preserve">but </w:t>
      </w:r>
      <w:r w:rsidR="008E0AE3" w:rsidRPr="0083525D">
        <w:t>is reduced by $100 for each $1</w:t>
      </w:r>
      <w:r w:rsidR="008E0AE3">
        <w:t>,</w:t>
      </w:r>
      <w:r w:rsidR="008E0AE3" w:rsidRPr="0083525D">
        <w:t>000</w:t>
      </w:r>
      <w:r w:rsidR="008E0AE3">
        <w:t xml:space="preserve"> t</w:t>
      </w:r>
      <w:r w:rsidR="008E0AE3" w:rsidRPr="00CB3370">
        <w:t>hat the taxpayers</w:t>
      </w:r>
      <w:r w:rsidR="008E0AE3">
        <w:t>’</w:t>
      </w:r>
      <w:r w:rsidR="008E0AE3" w:rsidRPr="00CB3370">
        <w:t xml:space="preserve"> M</w:t>
      </w:r>
      <w:r w:rsidR="008E0AE3">
        <w:t>AGI</w:t>
      </w:r>
      <w:r w:rsidR="008E0AE3" w:rsidRPr="00CB3370">
        <w:t xml:space="preserve"> exceeds</w:t>
      </w:r>
      <w:r w:rsidR="008E0AE3">
        <w:t xml:space="preserve"> </w:t>
      </w:r>
      <w:r w:rsidR="008E0AE3" w:rsidRPr="00694672">
        <w:t xml:space="preserve">$150,000 </w:t>
      </w:r>
      <w:r w:rsidR="008E0AE3">
        <w:t>($</w:t>
      </w:r>
      <w:r w:rsidR="008E0AE3" w:rsidRPr="00694672">
        <w:t xml:space="preserve">300,000 </w:t>
      </w:r>
      <w:r w:rsidR="008E0AE3" w:rsidRPr="00F22F9C">
        <w:t xml:space="preserve"> </w:t>
      </w:r>
      <w:r w:rsidR="008E0AE3" w:rsidRPr="00694672">
        <w:t>in the case of a joint return</w:t>
      </w:r>
      <w:r w:rsidR="008E0AE3">
        <w:t>).</w:t>
      </w:r>
    </w:p>
    <w:p w14:paraId="26D4D8F2" w14:textId="724A30E9" w:rsidR="003B595B" w:rsidRDefault="005C00FF" w:rsidP="00602EA2">
      <w:pPr>
        <w:pStyle w:val="Heading2"/>
      </w:pPr>
      <w:r>
        <w:t>Tax on Overtime</w:t>
      </w:r>
    </w:p>
    <w:p w14:paraId="696B8F4D" w14:textId="10006BA7" w:rsidR="005C00FF" w:rsidRDefault="00C5187E" w:rsidP="00D66570">
      <w:bookmarkStart w:id="1" w:name="_Hlk203035723"/>
      <w:r>
        <w:rPr>
          <w:rFonts w:cs="Calibri"/>
        </w:rPr>
        <w:t>OBBBA</w:t>
      </w:r>
      <w:r w:rsidR="0087333C">
        <w:rPr>
          <w:rFonts w:cs="Calibri"/>
        </w:rPr>
        <w:t>, §</w:t>
      </w:r>
      <w:r w:rsidR="0087333C">
        <w:t>7020</w:t>
      </w:r>
      <w:r w:rsidR="001102BD">
        <w:t>2</w:t>
      </w:r>
      <w:r w:rsidR="0039450F">
        <w:t xml:space="preserve"> </w:t>
      </w:r>
      <w:bookmarkEnd w:id="1"/>
      <w:r w:rsidR="0039450F">
        <w:t>provides for a deduction</w:t>
      </w:r>
      <w:r w:rsidR="008F4CEC">
        <w:t xml:space="preserve"> beginning in 2025 and extending through 2028</w:t>
      </w:r>
      <w:r w:rsidR="008678FF">
        <w:t xml:space="preserve"> for qualified overtime compensation</w:t>
      </w:r>
      <w:r w:rsidR="00836F75">
        <w:rPr>
          <w:rStyle w:val="FootnoteReference"/>
        </w:rPr>
        <w:footnoteReference w:id="1"/>
      </w:r>
      <w:r w:rsidR="008678FF">
        <w:t xml:space="preserve">. </w:t>
      </w:r>
      <w:r w:rsidR="008837EF">
        <w:t xml:space="preserve">The deduction is available to </w:t>
      </w:r>
      <w:r w:rsidR="00FA49E5">
        <w:t xml:space="preserve">itemizing </w:t>
      </w:r>
      <w:r w:rsidR="008837EF">
        <w:t xml:space="preserve">taxpayers </w:t>
      </w:r>
      <w:r w:rsidR="00FA49E5">
        <w:t>and non-itemizing taxpayers</w:t>
      </w:r>
      <w:r w:rsidR="00914987">
        <w:t xml:space="preserve"> and </w:t>
      </w:r>
      <w:r w:rsidR="007616AB">
        <w:t>is limited to no more than $12,500 ($25,000 in the case of a joint account)</w:t>
      </w:r>
      <w:r w:rsidR="00914987">
        <w:t>.</w:t>
      </w:r>
      <w:r w:rsidR="001E70D1" w:rsidRPr="001E70D1">
        <w:t xml:space="preserve"> </w:t>
      </w:r>
      <w:r w:rsidR="001E70D1">
        <w:t>The deduction is reduced, but not below zero, by $100 for each $1,000 by which the taxpayer’s MAGI exceeds $150,000 ($300,000 in the case of a joint return).</w:t>
      </w:r>
    </w:p>
    <w:p w14:paraId="41E54599" w14:textId="3C9657E8" w:rsidR="00841950" w:rsidRDefault="00841950" w:rsidP="00602EA2">
      <w:pPr>
        <w:pStyle w:val="Heading2"/>
      </w:pPr>
      <w:r>
        <w:t>Car Loan Interest Deduction</w:t>
      </w:r>
    </w:p>
    <w:p w14:paraId="5E8F6D82" w14:textId="528DAFB2" w:rsidR="00A30C4A" w:rsidRDefault="00840252" w:rsidP="00A30C4A">
      <w:r>
        <w:t>OBBBA</w:t>
      </w:r>
      <w:r w:rsidR="00841950">
        <w:rPr>
          <w:rFonts w:cs="Calibri"/>
        </w:rPr>
        <w:t>, §</w:t>
      </w:r>
      <w:r w:rsidR="00841950">
        <w:t>7020</w:t>
      </w:r>
      <w:r w:rsidR="002E7CC5">
        <w:t>3</w:t>
      </w:r>
      <w:r w:rsidR="002F4EC9">
        <w:t xml:space="preserve"> provides for a temporary</w:t>
      </w:r>
      <w:r w:rsidR="00AB7BE6">
        <w:t>, deduction of qualified passenger vehicle loan interest</w:t>
      </w:r>
      <w:r w:rsidR="005B6BB6">
        <w:rPr>
          <w:rStyle w:val="FootnoteReference"/>
        </w:rPr>
        <w:footnoteReference w:id="2"/>
      </w:r>
      <w:r w:rsidR="001F4C35">
        <w:t xml:space="preserve"> no</w:t>
      </w:r>
      <w:r w:rsidR="00040B3A">
        <w:t>t</w:t>
      </w:r>
      <w:r w:rsidR="001F4C35">
        <w:t xml:space="preserve"> exceeding</w:t>
      </w:r>
      <w:r w:rsidR="005B6BB6">
        <w:t xml:space="preserve"> $10,000</w:t>
      </w:r>
      <w:r w:rsidR="008867AA">
        <w:t>—including interest on refinancing</w:t>
      </w:r>
      <w:r w:rsidR="00F87216">
        <w:t xml:space="preserve"> to the extent of</w:t>
      </w:r>
      <w:r w:rsidR="004A1CFA">
        <w:t xml:space="preserve"> the </w:t>
      </w:r>
      <w:r w:rsidR="004E4A1D">
        <w:t>financed indebtedness—</w:t>
      </w:r>
      <w:r w:rsidR="005D0924">
        <w:lastRenderedPageBreak/>
        <w:t>beginning in 2025 and continuing through 2028</w:t>
      </w:r>
      <w:r w:rsidR="00AB2B58">
        <w:t xml:space="preserve">. </w:t>
      </w:r>
      <w:r w:rsidR="002C2897">
        <w:t>The deduction is available to taxpayers who itemize deductions as well as those who are non-itemizers</w:t>
      </w:r>
      <w:r w:rsidR="00B54F3C">
        <w:t xml:space="preserve">. </w:t>
      </w:r>
      <w:r w:rsidR="00040362" w:rsidRPr="00040362">
        <w:t xml:space="preserve">The car loan interest deduction </w:t>
      </w:r>
      <w:r w:rsidR="00A30C4A" w:rsidRPr="00040362">
        <w:t xml:space="preserve">is reduced by $200 for each $1,000 (or portion) by which the taxpayer’s MAGI exceeds </w:t>
      </w:r>
      <w:r w:rsidR="00055F4E" w:rsidRPr="00040362">
        <w:t>$100,000 ($200,000 in the case of married taxpayers filing jointly)</w:t>
      </w:r>
      <w:r w:rsidR="00A30C4A" w:rsidRPr="00040362">
        <w:t>.</w:t>
      </w:r>
      <w:r w:rsidR="00055F4E">
        <w:t xml:space="preserve"> </w:t>
      </w:r>
    </w:p>
    <w:p w14:paraId="158C73E8" w14:textId="70C79C69" w:rsidR="00BD730E" w:rsidRDefault="00BD730E" w:rsidP="00021AEE">
      <w:pPr>
        <w:pStyle w:val="Heading2"/>
      </w:pPr>
      <w:r>
        <w:t>Clean Energy Incentives</w:t>
      </w:r>
      <w:r w:rsidR="00B04092">
        <w:t xml:space="preserve"> </w:t>
      </w:r>
      <w:r w:rsidR="00420999">
        <w:t>–</w:t>
      </w:r>
      <w:r w:rsidR="00212FC6">
        <w:t xml:space="preserve"> </w:t>
      </w:r>
      <w:r w:rsidR="00420999">
        <w:t>Non-Commercial</w:t>
      </w:r>
    </w:p>
    <w:p w14:paraId="74F9B44A" w14:textId="1F877536" w:rsidR="00E80A51" w:rsidRDefault="00C5187E" w:rsidP="000A377E">
      <w:pPr>
        <w:rPr>
          <w:rFonts w:cs="Calibri"/>
        </w:rPr>
      </w:pPr>
      <w:r>
        <w:rPr>
          <w:rFonts w:cs="Calibri"/>
        </w:rPr>
        <w:t>OBBBA</w:t>
      </w:r>
      <w:r w:rsidR="003A15A0">
        <w:rPr>
          <w:rFonts w:cs="Calibri"/>
        </w:rPr>
        <w:t xml:space="preserve">, </w:t>
      </w:r>
      <w:bookmarkStart w:id="2" w:name="_Hlk203053836"/>
      <w:r w:rsidR="00F33765">
        <w:rPr>
          <w:rFonts w:cs="Calibri"/>
        </w:rPr>
        <w:t>§</w:t>
      </w:r>
      <w:r w:rsidR="00F33765">
        <w:t>70</w:t>
      </w:r>
      <w:r w:rsidR="00275753">
        <w:t>502</w:t>
      </w:r>
      <w:r w:rsidR="00F33765">
        <w:t xml:space="preserve"> </w:t>
      </w:r>
      <w:bookmarkEnd w:id="2"/>
      <w:r w:rsidR="00B14F41">
        <w:rPr>
          <w:rFonts w:cs="Calibri"/>
        </w:rPr>
        <w:t xml:space="preserve">eliminates </w:t>
      </w:r>
      <w:r w:rsidR="00275753">
        <w:rPr>
          <w:rFonts w:cs="Calibri"/>
        </w:rPr>
        <w:t xml:space="preserve">the </w:t>
      </w:r>
      <w:r w:rsidR="00104FB6">
        <w:rPr>
          <w:rFonts w:cs="Calibri"/>
        </w:rPr>
        <w:t>tax credit</w:t>
      </w:r>
      <w:r w:rsidR="00A75D32">
        <w:rPr>
          <w:rFonts w:cs="Calibri"/>
        </w:rPr>
        <w:t xml:space="preserve"> of up to $7,500</w:t>
      </w:r>
      <w:r w:rsidR="00104FB6">
        <w:rPr>
          <w:rFonts w:cs="Calibri"/>
        </w:rPr>
        <w:t xml:space="preserve"> authorized under the Inflation Reduction Act for the purchase of </w:t>
      </w:r>
      <w:r w:rsidR="00E62E86">
        <w:rPr>
          <w:rFonts w:cs="Calibri"/>
        </w:rPr>
        <w:t xml:space="preserve">new clean vehicles </w:t>
      </w:r>
      <w:r w:rsidR="000C3725">
        <w:rPr>
          <w:rFonts w:cs="Calibri"/>
        </w:rPr>
        <w:t>purchased after September 30, 2025.</w:t>
      </w:r>
      <w:r w:rsidR="009E2739">
        <w:rPr>
          <w:rFonts w:cs="Calibri"/>
        </w:rPr>
        <w:t xml:space="preserve"> Similarly, §</w:t>
      </w:r>
      <w:r w:rsidR="009E2739">
        <w:t>70501</w:t>
      </w:r>
      <w:r w:rsidR="00A0178C">
        <w:t xml:space="preserve"> eliminates the tax credit </w:t>
      </w:r>
      <w:r w:rsidR="008572C1">
        <w:t xml:space="preserve">of up to </w:t>
      </w:r>
      <w:r w:rsidR="007D53A0">
        <w:t>$4,000</w:t>
      </w:r>
      <w:r w:rsidR="008572C1">
        <w:t xml:space="preserve"> </w:t>
      </w:r>
      <w:r w:rsidR="00A0178C">
        <w:t>authorized under the Inflation Reduction Act</w:t>
      </w:r>
      <w:r w:rsidR="00CF204A">
        <w:t xml:space="preserve"> for the purchase of previously-owned clean vehicles purchased after September 30, 2025.</w:t>
      </w:r>
    </w:p>
    <w:sectPr w:rsidR="00E80A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B704" w14:textId="77777777" w:rsidR="00695664" w:rsidRDefault="00695664" w:rsidP="00293D97">
      <w:pPr>
        <w:spacing w:before="0" w:after="0"/>
      </w:pPr>
      <w:r>
        <w:separator/>
      </w:r>
    </w:p>
  </w:endnote>
  <w:endnote w:type="continuationSeparator" w:id="0">
    <w:p w14:paraId="47F68B50" w14:textId="77777777" w:rsidR="00695664" w:rsidRDefault="00695664" w:rsidP="0029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244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98116" w14:textId="23E901BA" w:rsidR="00293D97" w:rsidRDefault="00293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42195" w14:textId="77777777" w:rsidR="00293D97" w:rsidRDefault="0029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CEA0" w14:textId="77777777" w:rsidR="00695664" w:rsidRDefault="00695664" w:rsidP="00293D97">
      <w:pPr>
        <w:spacing w:before="0" w:after="0"/>
      </w:pPr>
      <w:r>
        <w:separator/>
      </w:r>
    </w:p>
  </w:footnote>
  <w:footnote w:type="continuationSeparator" w:id="0">
    <w:p w14:paraId="5C794701" w14:textId="77777777" w:rsidR="00695664" w:rsidRDefault="00695664" w:rsidP="00293D97">
      <w:pPr>
        <w:spacing w:before="0" w:after="0"/>
      </w:pPr>
      <w:r>
        <w:continuationSeparator/>
      </w:r>
    </w:p>
  </w:footnote>
  <w:footnote w:id="1">
    <w:p w14:paraId="7B2EA4FB" w14:textId="10AE3804" w:rsidR="00836F75" w:rsidRDefault="00836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6F75">
        <w:t>“</w:t>
      </w:r>
      <w:r w:rsidR="005B6BB6">
        <w:t>Q</w:t>
      </w:r>
      <w:r w:rsidRPr="00836F75">
        <w:t>ualified overtime compensation,” for purposes of the deduction, means compensation paid to an individual under section 7 of the Fair Labor Stands Act of 1938 that requires employers to pay nonexempt employees at a rate at least one and one-half times their regular rate for all hours worked over 40 in a workweek. It does not include any qualified tip income.</w:t>
      </w:r>
    </w:p>
  </w:footnote>
  <w:footnote w:id="2">
    <w:p w14:paraId="023B6B8C" w14:textId="6017A0A8" w:rsidR="005B6BB6" w:rsidRDefault="005B6B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6BB6">
        <w:t>“</w:t>
      </w:r>
      <w:r>
        <w:t>Q</w:t>
      </w:r>
      <w:r w:rsidRPr="005B6BB6">
        <w:t>ualified passenger vehicle loan interest” means the interest paid or accrued during the tax year on indebtedness incurred by the taxpayer for the purchase of a passenger vehicle for personal use. However, interest incurred on indebtedness owed to a person related to the taxpayer is not considered qualified passenger vehicle loan interest.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A0C"/>
    <w:multiLevelType w:val="multilevel"/>
    <w:tmpl w:val="DE38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7715F"/>
    <w:multiLevelType w:val="hybridMultilevel"/>
    <w:tmpl w:val="3D2A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0763"/>
    <w:multiLevelType w:val="multilevel"/>
    <w:tmpl w:val="262C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902DB"/>
    <w:multiLevelType w:val="hybridMultilevel"/>
    <w:tmpl w:val="541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378A"/>
    <w:multiLevelType w:val="hybridMultilevel"/>
    <w:tmpl w:val="9F1C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B5AB7"/>
    <w:multiLevelType w:val="hybridMultilevel"/>
    <w:tmpl w:val="F10E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B3F"/>
    <w:multiLevelType w:val="multilevel"/>
    <w:tmpl w:val="617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E1CB3"/>
    <w:multiLevelType w:val="hybridMultilevel"/>
    <w:tmpl w:val="6252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B8A"/>
    <w:multiLevelType w:val="hybridMultilevel"/>
    <w:tmpl w:val="D580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4A4F"/>
    <w:multiLevelType w:val="hybridMultilevel"/>
    <w:tmpl w:val="0D7C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8A"/>
    <w:multiLevelType w:val="hybridMultilevel"/>
    <w:tmpl w:val="003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91E6C"/>
    <w:multiLevelType w:val="hybridMultilevel"/>
    <w:tmpl w:val="7682F01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2F800DB"/>
    <w:multiLevelType w:val="multilevel"/>
    <w:tmpl w:val="1BA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8686F"/>
    <w:multiLevelType w:val="hybridMultilevel"/>
    <w:tmpl w:val="51B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87569">
    <w:abstractNumId w:val="11"/>
  </w:num>
  <w:num w:numId="2" w16cid:durableId="321466632">
    <w:abstractNumId w:val="4"/>
  </w:num>
  <w:num w:numId="3" w16cid:durableId="697655487">
    <w:abstractNumId w:val="9"/>
  </w:num>
  <w:num w:numId="4" w16cid:durableId="164710528">
    <w:abstractNumId w:val="1"/>
  </w:num>
  <w:num w:numId="5" w16cid:durableId="874925688">
    <w:abstractNumId w:val="3"/>
  </w:num>
  <w:num w:numId="6" w16cid:durableId="1161433431">
    <w:abstractNumId w:val="12"/>
  </w:num>
  <w:num w:numId="7" w16cid:durableId="135730921">
    <w:abstractNumId w:val="6"/>
  </w:num>
  <w:num w:numId="8" w16cid:durableId="1863516240">
    <w:abstractNumId w:val="7"/>
  </w:num>
  <w:num w:numId="9" w16cid:durableId="999504557">
    <w:abstractNumId w:val="5"/>
  </w:num>
  <w:num w:numId="10" w16cid:durableId="1458446609">
    <w:abstractNumId w:val="8"/>
  </w:num>
  <w:num w:numId="11" w16cid:durableId="1305504324">
    <w:abstractNumId w:val="13"/>
  </w:num>
  <w:num w:numId="12" w16cid:durableId="1995572862">
    <w:abstractNumId w:val="2"/>
  </w:num>
  <w:num w:numId="13" w16cid:durableId="1754202884">
    <w:abstractNumId w:val="0"/>
  </w:num>
  <w:num w:numId="14" w16cid:durableId="53088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0D"/>
    <w:rsid w:val="0000140F"/>
    <w:rsid w:val="00005119"/>
    <w:rsid w:val="00021AEE"/>
    <w:rsid w:val="00021B51"/>
    <w:rsid w:val="000241EE"/>
    <w:rsid w:val="00030169"/>
    <w:rsid w:val="000318E6"/>
    <w:rsid w:val="00031F97"/>
    <w:rsid w:val="000334B2"/>
    <w:rsid w:val="00036096"/>
    <w:rsid w:val="00040362"/>
    <w:rsid w:val="00040B3A"/>
    <w:rsid w:val="000435FC"/>
    <w:rsid w:val="000435FD"/>
    <w:rsid w:val="0005028D"/>
    <w:rsid w:val="00053027"/>
    <w:rsid w:val="00054740"/>
    <w:rsid w:val="00055F4E"/>
    <w:rsid w:val="000569D1"/>
    <w:rsid w:val="00066A27"/>
    <w:rsid w:val="00071E7D"/>
    <w:rsid w:val="0007510E"/>
    <w:rsid w:val="0008013E"/>
    <w:rsid w:val="00080495"/>
    <w:rsid w:val="00083725"/>
    <w:rsid w:val="00087872"/>
    <w:rsid w:val="00087C01"/>
    <w:rsid w:val="0009036A"/>
    <w:rsid w:val="000A0971"/>
    <w:rsid w:val="000A377E"/>
    <w:rsid w:val="000A4DDB"/>
    <w:rsid w:val="000A6BC6"/>
    <w:rsid w:val="000B2803"/>
    <w:rsid w:val="000B6120"/>
    <w:rsid w:val="000C0217"/>
    <w:rsid w:val="000C3725"/>
    <w:rsid w:val="000C3E1A"/>
    <w:rsid w:val="000C5DEB"/>
    <w:rsid w:val="000C79A1"/>
    <w:rsid w:val="000D0A18"/>
    <w:rsid w:val="000D29D5"/>
    <w:rsid w:val="000D5C86"/>
    <w:rsid w:val="000D68E5"/>
    <w:rsid w:val="000D7559"/>
    <w:rsid w:val="000F1097"/>
    <w:rsid w:val="000F292A"/>
    <w:rsid w:val="000F5334"/>
    <w:rsid w:val="000F57EE"/>
    <w:rsid w:val="001011AC"/>
    <w:rsid w:val="00101F18"/>
    <w:rsid w:val="001035EB"/>
    <w:rsid w:val="00104995"/>
    <w:rsid w:val="00104FB6"/>
    <w:rsid w:val="001102BD"/>
    <w:rsid w:val="00112292"/>
    <w:rsid w:val="001123F4"/>
    <w:rsid w:val="00113F52"/>
    <w:rsid w:val="00116C80"/>
    <w:rsid w:val="00120414"/>
    <w:rsid w:val="001206D3"/>
    <w:rsid w:val="001243CF"/>
    <w:rsid w:val="001360CB"/>
    <w:rsid w:val="00140883"/>
    <w:rsid w:val="00160292"/>
    <w:rsid w:val="00162260"/>
    <w:rsid w:val="00164724"/>
    <w:rsid w:val="00164882"/>
    <w:rsid w:val="0016566C"/>
    <w:rsid w:val="001808BA"/>
    <w:rsid w:val="001818E9"/>
    <w:rsid w:val="00184361"/>
    <w:rsid w:val="0019397D"/>
    <w:rsid w:val="00194284"/>
    <w:rsid w:val="001A0FA2"/>
    <w:rsid w:val="001A1B97"/>
    <w:rsid w:val="001A1ECE"/>
    <w:rsid w:val="001A2A4D"/>
    <w:rsid w:val="001B4955"/>
    <w:rsid w:val="001B5A89"/>
    <w:rsid w:val="001C399B"/>
    <w:rsid w:val="001C4E94"/>
    <w:rsid w:val="001C503C"/>
    <w:rsid w:val="001D47C5"/>
    <w:rsid w:val="001D4B43"/>
    <w:rsid w:val="001E030B"/>
    <w:rsid w:val="001E605A"/>
    <w:rsid w:val="001E70D1"/>
    <w:rsid w:val="001F49E3"/>
    <w:rsid w:val="001F4A7D"/>
    <w:rsid w:val="001F4C35"/>
    <w:rsid w:val="001F5FA4"/>
    <w:rsid w:val="001F7996"/>
    <w:rsid w:val="00205377"/>
    <w:rsid w:val="002068E6"/>
    <w:rsid w:val="00212FC6"/>
    <w:rsid w:val="00213142"/>
    <w:rsid w:val="0021351C"/>
    <w:rsid w:val="0021422E"/>
    <w:rsid w:val="00221E25"/>
    <w:rsid w:val="0022293D"/>
    <w:rsid w:val="00224DC8"/>
    <w:rsid w:val="00232B5C"/>
    <w:rsid w:val="00233CD1"/>
    <w:rsid w:val="00242A72"/>
    <w:rsid w:val="00250828"/>
    <w:rsid w:val="00252559"/>
    <w:rsid w:val="00255857"/>
    <w:rsid w:val="00261578"/>
    <w:rsid w:val="0026264D"/>
    <w:rsid w:val="00263ABE"/>
    <w:rsid w:val="00270E8E"/>
    <w:rsid w:val="00271ED0"/>
    <w:rsid w:val="00275753"/>
    <w:rsid w:val="00282F6E"/>
    <w:rsid w:val="0028547D"/>
    <w:rsid w:val="00293D97"/>
    <w:rsid w:val="00296F4B"/>
    <w:rsid w:val="002A10B4"/>
    <w:rsid w:val="002A15BE"/>
    <w:rsid w:val="002A41ED"/>
    <w:rsid w:val="002A5735"/>
    <w:rsid w:val="002B2319"/>
    <w:rsid w:val="002B692D"/>
    <w:rsid w:val="002C0030"/>
    <w:rsid w:val="002C2897"/>
    <w:rsid w:val="002C3ED4"/>
    <w:rsid w:val="002E6B67"/>
    <w:rsid w:val="002E7CC5"/>
    <w:rsid w:val="002F0C53"/>
    <w:rsid w:val="002F3715"/>
    <w:rsid w:val="002F4EC9"/>
    <w:rsid w:val="003009BB"/>
    <w:rsid w:val="00307738"/>
    <w:rsid w:val="00307E0A"/>
    <w:rsid w:val="0031003C"/>
    <w:rsid w:val="00327BEC"/>
    <w:rsid w:val="00335D8F"/>
    <w:rsid w:val="00335E7D"/>
    <w:rsid w:val="00336060"/>
    <w:rsid w:val="00336A6E"/>
    <w:rsid w:val="00336AB4"/>
    <w:rsid w:val="00337B03"/>
    <w:rsid w:val="003408DA"/>
    <w:rsid w:val="00347F42"/>
    <w:rsid w:val="00354CB6"/>
    <w:rsid w:val="00363DC3"/>
    <w:rsid w:val="00365231"/>
    <w:rsid w:val="00374555"/>
    <w:rsid w:val="00375956"/>
    <w:rsid w:val="00377C87"/>
    <w:rsid w:val="00377D23"/>
    <w:rsid w:val="00380B0B"/>
    <w:rsid w:val="003830B7"/>
    <w:rsid w:val="00393810"/>
    <w:rsid w:val="0039450F"/>
    <w:rsid w:val="0039599B"/>
    <w:rsid w:val="003A15A0"/>
    <w:rsid w:val="003A7A49"/>
    <w:rsid w:val="003B01C2"/>
    <w:rsid w:val="003B1B5C"/>
    <w:rsid w:val="003B428D"/>
    <w:rsid w:val="003B595B"/>
    <w:rsid w:val="003C6ADF"/>
    <w:rsid w:val="003D1558"/>
    <w:rsid w:val="003D1A41"/>
    <w:rsid w:val="003D3C4D"/>
    <w:rsid w:val="003D4E0B"/>
    <w:rsid w:val="003E293B"/>
    <w:rsid w:val="003E3156"/>
    <w:rsid w:val="003E5511"/>
    <w:rsid w:val="003F3CBB"/>
    <w:rsid w:val="003F6A28"/>
    <w:rsid w:val="00402FDF"/>
    <w:rsid w:val="00404794"/>
    <w:rsid w:val="00407AA0"/>
    <w:rsid w:val="00412666"/>
    <w:rsid w:val="00412B00"/>
    <w:rsid w:val="004146D7"/>
    <w:rsid w:val="004153D9"/>
    <w:rsid w:val="00416E48"/>
    <w:rsid w:val="00417D19"/>
    <w:rsid w:val="00420999"/>
    <w:rsid w:val="00425712"/>
    <w:rsid w:val="004274DF"/>
    <w:rsid w:val="00440EA8"/>
    <w:rsid w:val="0044583F"/>
    <w:rsid w:val="00447FD1"/>
    <w:rsid w:val="004522F3"/>
    <w:rsid w:val="00452F04"/>
    <w:rsid w:val="00462523"/>
    <w:rsid w:val="004658C5"/>
    <w:rsid w:val="00466592"/>
    <w:rsid w:val="004706E5"/>
    <w:rsid w:val="004716F7"/>
    <w:rsid w:val="00480F99"/>
    <w:rsid w:val="004817F3"/>
    <w:rsid w:val="00482F39"/>
    <w:rsid w:val="0048300E"/>
    <w:rsid w:val="004875D8"/>
    <w:rsid w:val="0049144F"/>
    <w:rsid w:val="00491C6C"/>
    <w:rsid w:val="004972C2"/>
    <w:rsid w:val="00497E35"/>
    <w:rsid w:val="004A1CFA"/>
    <w:rsid w:val="004A38DF"/>
    <w:rsid w:val="004B264E"/>
    <w:rsid w:val="004B2CAD"/>
    <w:rsid w:val="004D1BB6"/>
    <w:rsid w:val="004E4A1D"/>
    <w:rsid w:val="004E5F3E"/>
    <w:rsid w:val="004E77EC"/>
    <w:rsid w:val="00500208"/>
    <w:rsid w:val="00500A14"/>
    <w:rsid w:val="00500A3B"/>
    <w:rsid w:val="00507FA6"/>
    <w:rsid w:val="00512164"/>
    <w:rsid w:val="005145F0"/>
    <w:rsid w:val="005166CA"/>
    <w:rsid w:val="005229A4"/>
    <w:rsid w:val="00523DB3"/>
    <w:rsid w:val="005304E9"/>
    <w:rsid w:val="0053660F"/>
    <w:rsid w:val="0053706A"/>
    <w:rsid w:val="005435EF"/>
    <w:rsid w:val="005439E1"/>
    <w:rsid w:val="00544FD2"/>
    <w:rsid w:val="00546E12"/>
    <w:rsid w:val="00551FB2"/>
    <w:rsid w:val="00552F39"/>
    <w:rsid w:val="005534D7"/>
    <w:rsid w:val="005625D3"/>
    <w:rsid w:val="00562A29"/>
    <w:rsid w:val="0056452A"/>
    <w:rsid w:val="00570456"/>
    <w:rsid w:val="005730C7"/>
    <w:rsid w:val="005741E0"/>
    <w:rsid w:val="00574A29"/>
    <w:rsid w:val="005808FA"/>
    <w:rsid w:val="00582AC3"/>
    <w:rsid w:val="005B125B"/>
    <w:rsid w:val="005B168D"/>
    <w:rsid w:val="005B5C6A"/>
    <w:rsid w:val="005B69DF"/>
    <w:rsid w:val="005B6BB6"/>
    <w:rsid w:val="005C00FF"/>
    <w:rsid w:val="005C64EB"/>
    <w:rsid w:val="005D0924"/>
    <w:rsid w:val="005D5F0E"/>
    <w:rsid w:val="005D7913"/>
    <w:rsid w:val="005E031E"/>
    <w:rsid w:val="005E16A0"/>
    <w:rsid w:val="005E3555"/>
    <w:rsid w:val="005E6C94"/>
    <w:rsid w:val="005F1824"/>
    <w:rsid w:val="005F276A"/>
    <w:rsid w:val="005F29F5"/>
    <w:rsid w:val="0060174E"/>
    <w:rsid w:val="00602EA2"/>
    <w:rsid w:val="0060661D"/>
    <w:rsid w:val="00606A37"/>
    <w:rsid w:val="006071E2"/>
    <w:rsid w:val="00607DC3"/>
    <w:rsid w:val="00611277"/>
    <w:rsid w:val="00620603"/>
    <w:rsid w:val="00622382"/>
    <w:rsid w:val="00625FBA"/>
    <w:rsid w:val="00640B36"/>
    <w:rsid w:val="0064407E"/>
    <w:rsid w:val="00646228"/>
    <w:rsid w:val="006474AB"/>
    <w:rsid w:val="00647C60"/>
    <w:rsid w:val="006530AA"/>
    <w:rsid w:val="00656222"/>
    <w:rsid w:val="006638DA"/>
    <w:rsid w:val="00667A59"/>
    <w:rsid w:val="00675F45"/>
    <w:rsid w:val="006775B0"/>
    <w:rsid w:val="00680A99"/>
    <w:rsid w:val="006941F3"/>
    <w:rsid w:val="00694672"/>
    <w:rsid w:val="00695664"/>
    <w:rsid w:val="006977F6"/>
    <w:rsid w:val="006978DF"/>
    <w:rsid w:val="006A3D56"/>
    <w:rsid w:val="006B0724"/>
    <w:rsid w:val="006B74BE"/>
    <w:rsid w:val="006C59EA"/>
    <w:rsid w:val="006C7B00"/>
    <w:rsid w:val="006D73F8"/>
    <w:rsid w:val="006E49A2"/>
    <w:rsid w:val="006E4DB5"/>
    <w:rsid w:val="006E745F"/>
    <w:rsid w:val="006F43D4"/>
    <w:rsid w:val="006F64A6"/>
    <w:rsid w:val="006F72C1"/>
    <w:rsid w:val="00700676"/>
    <w:rsid w:val="00705A69"/>
    <w:rsid w:val="007131F0"/>
    <w:rsid w:val="007256B3"/>
    <w:rsid w:val="007316DD"/>
    <w:rsid w:val="00737AA5"/>
    <w:rsid w:val="00744469"/>
    <w:rsid w:val="00746A6F"/>
    <w:rsid w:val="00750BD6"/>
    <w:rsid w:val="00752E48"/>
    <w:rsid w:val="007535C8"/>
    <w:rsid w:val="007605F2"/>
    <w:rsid w:val="007616AB"/>
    <w:rsid w:val="007662E2"/>
    <w:rsid w:val="00771789"/>
    <w:rsid w:val="0077384D"/>
    <w:rsid w:val="007778B8"/>
    <w:rsid w:val="00777911"/>
    <w:rsid w:val="007826AA"/>
    <w:rsid w:val="0078439A"/>
    <w:rsid w:val="00785B41"/>
    <w:rsid w:val="0078740D"/>
    <w:rsid w:val="00791D5A"/>
    <w:rsid w:val="00793505"/>
    <w:rsid w:val="0079404B"/>
    <w:rsid w:val="007A5912"/>
    <w:rsid w:val="007A7807"/>
    <w:rsid w:val="007B0475"/>
    <w:rsid w:val="007B3EF8"/>
    <w:rsid w:val="007B68DC"/>
    <w:rsid w:val="007C09A0"/>
    <w:rsid w:val="007C14A5"/>
    <w:rsid w:val="007C62E0"/>
    <w:rsid w:val="007C7D4F"/>
    <w:rsid w:val="007D1411"/>
    <w:rsid w:val="007D53A0"/>
    <w:rsid w:val="007D6FE1"/>
    <w:rsid w:val="007E44A6"/>
    <w:rsid w:val="007E7529"/>
    <w:rsid w:val="007F0B7B"/>
    <w:rsid w:val="007F110A"/>
    <w:rsid w:val="007F43CD"/>
    <w:rsid w:val="007F4CEE"/>
    <w:rsid w:val="007F4F17"/>
    <w:rsid w:val="007F5215"/>
    <w:rsid w:val="007F65D7"/>
    <w:rsid w:val="008048E4"/>
    <w:rsid w:val="00810DD3"/>
    <w:rsid w:val="0081663E"/>
    <w:rsid w:val="008218A8"/>
    <w:rsid w:val="0083092A"/>
    <w:rsid w:val="00830C0F"/>
    <w:rsid w:val="0083525D"/>
    <w:rsid w:val="00835DCA"/>
    <w:rsid w:val="00836F75"/>
    <w:rsid w:val="00840252"/>
    <w:rsid w:val="00841950"/>
    <w:rsid w:val="00841D33"/>
    <w:rsid w:val="00847008"/>
    <w:rsid w:val="0085229C"/>
    <w:rsid w:val="008560E3"/>
    <w:rsid w:val="008572C1"/>
    <w:rsid w:val="0086295E"/>
    <w:rsid w:val="008649F1"/>
    <w:rsid w:val="008678FF"/>
    <w:rsid w:val="008719C2"/>
    <w:rsid w:val="0087333C"/>
    <w:rsid w:val="0087591F"/>
    <w:rsid w:val="0088113D"/>
    <w:rsid w:val="00882B00"/>
    <w:rsid w:val="00882BDB"/>
    <w:rsid w:val="00882C3A"/>
    <w:rsid w:val="008837EF"/>
    <w:rsid w:val="00885BA2"/>
    <w:rsid w:val="0088614A"/>
    <w:rsid w:val="008867AA"/>
    <w:rsid w:val="00887726"/>
    <w:rsid w:val="0089638F"/>
    <w:rsid w:val="008A32E7"/>
    <w:rsid w:val="008A3E20"/>
    <w:rsid w:val="008A7F41"/>
    <w:rsid w:val="008B0933"/>
    <w:rsid w:val="008B240B"/>
    <w:rsid w:val="008C07CC"/>
    <w:rsid w:val="008C2F12"/>
    <w:rsid w:val="008D1158"/>
    <w:rsid w:val="008D5028"/>
    <w:rsid w:val="008D5BFD"/>
    <w:rsid w:val="008D5DA7"/>
    <w:rsid w:val="008E0A7F"/>
    <w:rsid w:val="008E0AE3"/>
    <w:rsid w:val="008E100D"/>
    <w:rsid w:val="008E2441"/>
    <w:rsid w:val="008E496F"/>
    <w:rsid w:val="008E7273"/>
    <w:rsid w:val="008F4CEC"/>
    <w:rsid w:val="008F721B"/>
    <w:rsid w:val="00905148"/>
    <w:rsid w:val="00907A85"/>
    <w:rsid w:val="00914987"/>
    <w:rsid w:val="009159BA"/>
    <w:rsid w:val="009173A1"/>
    <w:rsid w:val="009217AB"/>
    <w:rsid w:val="00923864"/>
    <w:rsid w:val="00925E92"/>
    <w:rsid w:val="0092787F"/>
    <w:rsid w:val="00927E07"/>
    <w:rsid w:val="00935296"/>
    <w:rsid w:val="00935974"/>
    <w:rsid w:val="009362C5"/>
    <w:rsid w:val="00941945"/>
    <w:rsid w:val="00957EB3"/>
    <w:rsid w:val="00962836"/>
    <w:rsid w:val="00965237"/>
    <w:rsid w:val="009679E7"/>
    <w:rsid w:val="009725B5"/>
    <w:rsid w:val="00972ABE"/>
    <w:rsid w:val="00972AC7"/>
    <w:rsid w:val="00972D4F"/>
    <w:rsid w:val="0097482A"/>
    <w:rsid w:val="00975BD5"/>
    <w:rsid w:val="00982C4A"/>
    <w:rsid w:val="00983242"/>
    <w:rsid w:val="00987BC9"/>
    <w:rsid w:val="00992B3E"/>
    <w:rsid w:val="00994B35"/>
    <w:rsid w:val="009A00DF"/>
    <w:rsid w:val="009A29E5"/>
    <w:rsid w:val="009A2D19"/>
    <w:rsid w:val="009B05CA"/>
    <w:rsid w:val="009B0F51"/>
    <w:rsid w:val="009B55AA"/>
    <w:rsid w:val="009C4C5A"/>
    <w:rsid w:val="009D0BC0"/>
    <w:rsid w:val="009D0D65"/>
    <w:rsid w:val="009D2E56"/>
    <w:rsid w:val="009E1BB5"/>
    <w:rsid w:val="009E2739"/>
    <w:rsid w:val="009E3FAB"/>
    <w:rsid w:val="009E53C7"/>
    <w:rsid w:val="009E669A"/>
    <w:rsid w:val="009E78A3"/>
    <w:rsid w:val="009F13AB"/>
    <w:rsid w:val="009F2E5C"/>
    <w:rsid w:val="009F3546"/>
    <w:rsid w:val="009F5137"/>
    <w:rsid w:val="00A0178C"/>
    <w:rsid w:val="00A12F8C"/>
    <w:rsid w:val="00A12FBE"/>
    <w:rsid w:val="00A14BC3"/>
    <w:rsid w:val="00A15FDD"/>
    <w:rsid w:val="00A16125"/>
    <w:rsid w:val="00A23189"/>
    <w:rsid w:val="00A23F3E"/>
    <w:rsid w:val="00A30C4A"/>
    <w:rsid w:val="00A33A47"/>
    <w:rsid w:val="00A37FC6"/>
    <w:rsid w:val="00A4500D"/>
    <w:rsid w:val="00A4578F"/>
    <w:rsid w:val="00A50D00"/>
    <w:rsid w:val="00A53DDC"/>
    <w:rsid w:val="00A5547C"/>
    <w:rsid w:val="00A5726A"/>
    <w:rsid w:val="00A61AE2"/>
    <w:rsid w:val="00A63C5F"/>
    <w:rsid w:val="00A650E4"/>
    <w:rsid w:val="00A652BA"/>
    <w:rsid w:val="00A668E5"/>
    <w:rsid w:val="00A7475A"/>
    <w:rsid w:val="00A75D32"/>
    <w:rsid w:val="00A7625D"/>
    <w:rsid w:val="00A860C4"/>
    <w:rsid w:val="00A86340"/>
    <w:rsid w:val="00A93698"/>
    <w:rsid w:val="00A93743"/>
    <w:rsid w:val="00A93C5B"/>
    <w:rsid w:val="00A945F9"/>
    <w:rsid w:val="00A955B6"/>
    <w:rsid w:val="00AA1D3E"/>
    <w:rsid w:val="00AA6F02"/>
    <w:rsid w:val="00AB25DF"/>
    <w:rsid w:val="00AB2B58"/>
    <w:rsid w:val="00AB3ABF"/>
    <w:rsid w:val="00AB74FD"/>
    <w:rsid w:val="00AB7BE6"/>
    <w:rsid w:val="00AB7D87"/>
    <w:rsid w:val="00AC40C7"/>
    <w:rsid w:val="00AC7706"/>
    <w:rsid w:val="00AD0242"/>
    <w:rsid w:val="00AD1211"/>
    <w:rsid w:val="00AD1851"/>
    <w:rsid w:val="00AD23EE"/>
    <w:rsid w:val="00AD79BF"/>
    <w:rsid w:val="00AE4ECD"/>
    <w:rsid w:val="00AF131E"/>
    <w:rsid w:val="00AF1A64"/>
    <w:rsid w:val="00AF67C3"/>
    <w:rsid w:val="00AF6CAA"/>
    <w:rsid w:val="00B009FF"/>
    <w:rsid w:val="00B0153C"/>
    <w:rsid w:val="00B018D9"/>
    <w:rsid w:val="00B04092"/>
    <w:rsid w:val="00B07F85"/>
    <w:rsid w:val="00B100FF"/>
    <w:rsid w:val="00B111D2"/>
    <w:rsid w:val="00B13DCF"/>
    <w:rsid w:val="00B14963"/>
    <w:rsid w:val="00B14F41"/>
    <w:rsid w:val="00B17437"/>
    <w:rsid w:val="00B32E64"/>
    <w:rsid w:val="00B34608"/>
    <w:rsid w:val="00B40790"/>
    <w:rsid w:val="00B41D6F"/>
    <w:rsid w:val="00B516F2"/>
    <w:rsid w:val="00B53BE2"/>
    <w:rsid w:val="00B54F3C"/>
    <w:rsid w:val="00B574F3"/>
    <w:rsid w:val="00B61612"/>
    <w:rsid w:val="00B6563B"/>
    <w:rsid w:val="00B66844"/>
    <w:rsid w:val="00B67A40"/>
    <w:rsid w:val="00B702C5"/>
    <w:rsid w:val="00B75616"/>
    <w:rsid w:val="00B81A02"/>
    <w:rsid w:val="00B836BE"/>
    <w:rsid w:val="00B848F0"/>
    <w:rsid w:val="00B84CBF"/>
    <w:rsid w:val="00B8790E"/>
    <w:rsid w:val="00B90636"/>
    <w:rsid w:val="00B92FEE"/>
    <w:rsid w:val="00BA1A72"/>
    <w:rsid w:val="00BA23BD"/>
    <w:rsid w:val="00BA2F7A"/>
    <w:rsid w:val="00BA3E33"/>
    <w:rsid w:val="00BA486E"/>
    <w:rsid w:val="00BA4C6F"/>
    <w:rsid w:val="00BB110C"/>
    <w:rsid w:val="00BB3A49"/>
    <w:rsid w:val="00BB4383"/>
    <w:rsid w:val="00BC4B3B"/>
    <w:rsid w:val="00BD07CE"/>
    <w:rsid w:val="00BD180F"/>
    <w:rsid w:val="00BD46A3"/>
    <w:rsid w:val="00BD730E"/>
    <w:rsid w:val="00BD77E3"/>
    <w:rsid w:val="00BE03C4"/>
    <w:rsid w:val="00BE526C"/>
    <w:rsid w:val="00BE7C3D"/>
    <w:rsid w:val="00BF34E6"/>
    <w:rsid w:val="00C00245"/>
    <w:rsid w:val="00C019AA"/>
    <w:rsid w:val="00C043DA"/>
    <w:rsid w:val="00C06BD3"/>
    <w:rsid w:val="00C06CF4"/>
    <w:rsid w:val="00C12799"/>
    <w:rsid w:val="00C127DD"/>
    <w:rsid w:val="00C1489B"/>
    <w:rsid w:val="00C167EA"/>
    <w:rsid w:val="00C2284C"/>
    <w:rsid w:val="00C237A9"/>
    <w:rsid w:val="00C23A7B"/>
    <w:rsid w:val="00C30E33"/>
    <w:rsid w:val="00C3138D"/>
    <w:rsid w:val="00C34E51"/>
    <w:rsid w:val="00C373F9"/>
    <w:rsid w:val="00C404A6"/>
    <w:rsid w:val="00C425A0"/>
    <w:rsid w:val="00C42706"/>
    <w:rsid w:val="00C4312E"/>
    <w:rsid w:val="00C44B16"/>
    <w:rsid w:val="00C5187E"/>
    <w:rsid w:val="00C55C36"/>
    <w:rsid w:val="00C565B2"/>
    <w:rsid w:val="00C57F14"/>
    <w:rsid w:val="00C60BD2"/>
    <w:rsid w:val="00C71ED3"/>
    <w:rsid w:val="00C77C92"/>
    <w:rsid w:val="00C80658"/>
    <w:rsid w:val="00C809CD"/>
    <w:rsid w:val="00C816DA"/>
    <w:rsid w:val="00C96179"/>
    <w:rsid w:val="00C966D0"/>
    <w:rsid w:val="00CA621D"/>
    <w:rsid w:val="00CA7D0D"/>
    <w:rsid w:val="00CB3370"/>
    <w:rsid w:val="00CC2448"/>
    <w:rsid w:val="00CD5411"/>
    <w:rsid w:val="00CD7FF2"/>
    <w:rsid w:val="00CE1F68"/>
    <w:rsid w:val="00CE4002"/>
    <w:rsid w:val="00CE4D38"/>
    <w:rsid w:val="00CE6612"/>
    <w:rsid w:val="00CF204A"/>
    <w:rsid w:val="00CF6C52"/>
    <w:rsid w:val="00CF7D27"/>
    <w:rsid w:val="00D0053B"/>
    <w:rsid w:val="00D03520"/>
    <w:rsid w:val="00D04E73"/>
    <w:rsid w:val="00D05A01"/>
    <w:rsid w:val="00D0737A"/>
    <w:rsid w:val="00D1010B"/>
    <w:rsid w:val="00D10915"/>
    <w:rsid w:val="00D11542"/>
    <w:rsid w:val="00D15BB4"/>
    <w:rsid w:val="00D16EB8"/>
    <w:rsid w:val="00D20423"/>
    <w:rsid w:val="00D2059A"/>
    <w:rsid w:val="00D21686"/>
    <w:rsid w:val="00D271BC"/>
    <w:rsid w:val="00D31253"/>
    <w:rsid w:val="00D32DBA"/>
    <w:rsid w:val="00D3375A"/>
    <w:rsid w:val="00D34CE6"/>
    <w:rsid w:val="00D3685D"/>
    <w:rsid w:val="00D43845"/>
    <w:rsid w:val="00D4407B"/>
    <w:rsid w:val="00D44156"/>
    <w:rsid w:val="00D4698A"/>
    <w:rsid w:val="00D510F1"/>
    <w:rsid w:val="00D5279E"/>
    <w:rsid w:val="00D55340"/>
    <w:rsid w:val="00D55EB5"/>
    <w:rsid w:val="00D61791"/>
    <w:rsid w:val="00D62EC2"/>
    <w:rsid w:val="00D6327C"/>
    <w:rsid w:val="00D639A1"/>
    <w:rsid w:val="00D6564E"/>
    <w:rsid w:val="00D66570"/>
    <w:rsid w:val="00D73174"/>
    <w:rsid w:val="00D73DAA"/>
    <w:rsid w:val="00D74B66"/>
    <w:rsid w:val="00D82F05"/>
    <w:rsid w:val="00D845B0"/>
    <w:rsid w:val="00D85350"/>
    <w:rsid w:val="00D92639"/>
    <w:rsid w:val="00D926C8"/>
    <w:rsid w:val="00D962CC"/>
    <w:rsid w:val="00D9659B"/>
    <w:rsid w:val="00DA7A2F"/>
    <w:rsid w:val="00DB2079"/>
    <w:rsid w:val="00DB2984"/>
    <w:rsid w:val="00DC0B89"/>
    <w:rsid w:val="00DC3084"/>
    <w:rsid w:val="00DC77E0"/>
    <w:rsid w:val="00DD367C"/>
    <w:rsid w:val="00DD7B11"/>
    <w:rsid w:val="00DE073D"/>
    <w:rsid w:val="00DE28C8"/>
    <w:rsid w:val="00DE4775"/>
    <w:rsid w:val="00DF0334"/>
    <w:rsid w:val="00DF5542"/>
    <w:rsid w:val="00E016A6"/>
    <w:rsid w:val="00E01DC4"/>
    <w:rsid w:val="00E053F3"/>
    <w:rsid w:val="00E0619C"/>
    <w:rsid w:val="00E1020C"/>
    <w:rsid w:val="00E170DC"/>
    <w:rsid w:val="00E17ECD"/>
    <w:rsid w:val="00E23AF9"/>
    <w:rsid w:val="00E27AD5"/>
    <w:rsid w:val="00E3560E"/>
    <w:rsid w:val="00E4020F"/>
    <w:rsid w:val="00E43489"/>
    <w:rsid w:val="00E46AD8"/>
    <w:rsid w:val="00E4721E"/>
    <w:rsid w:val="00E51B33"/>
    <w:rsid w:val="00E53ECA"/>
    <w:rsid w:val="00E546AA"/>
    <w:rsid w:val="00E56CE0"/>
    <w:rsid w:val="00E61455"/>
    <w:rsid w:val="00E62E86"/>
    <w:rsid w:val="00E70D5E"/>
    <w:rsid w:val="00E73349"/>
    <w:rsid w:val="00E80A51"/>
    <w:rsid w:val="00E8363E"/>
    <w:rsid w:val="00E85670"/>
    <w:rsid w:val="00E86B69"/>
    <w:rsid w:val="00E87176"/>
    <w:rsid w:val="00E904E2"/>
    <w:rsid w:val="00EA6392"/>
    <w:rsid w:val="00EB0BE2"/>
    <w:rsid w:val="00EC04A8"/>
    <w:rsid w:val="00EC04EF"/>
    <w:rsid w:val="00EC64A3"/>
    <w:rsid w:val="00ED0FDE"/>
    <w:rsid w:val="00ED14F2"/>
    <w:rsid w:val="00ED48CF"/>
    <w:rsid w:val="00ED7BE7"/>
    <w:rsid w:val="00EE21FA"/>
    <w:rsid w:val="00EE2FE9"/>
    <w:rsid w:val="00EE3F2C"/>
    <w:rsid w:val="00EE5F31"/>
    <w:rsid w:val="00EF701B"/>
    <w:rsid w:val="00F004F8"/>
    <w:rsid w:val="00F0050F"/>
    <w:rsid w:val="00F052BB"/>
    <w:rsid w:val="00F052E8"/>
    <w:rsid w:val="00F06C92"/>
    <w:rsid w:val="00F1012D"/>
    <w:rsid w:val="00F10133"/>
    <w:rsid w:val="00F14D0F"/>
    <w:rsid w:val="00F22F9C"/>
    <w:rsid w:val="00F23DE3"/>
    <w:rsid w:val="00F24A94"/>
    <w:rsid w:val="00F24E98"/>
    <w:rsid w:val="00F27924"/>
    <w:rsid w:val="00F306A4"/>
    <w:rsid w:val="00F33765"/>
    <w:rsid w:val="00F35E49"/>
    <w:rsid w:val="00F36F25"/>
    <w:rsid w:val="00F43E19"/>
    <w:rsid w:val="00F47372"/>
    <w:rsid w:val="00F52797"/>
    <w:rsid w:val="00F53004"/>
    <w:rsid w:val="00F53378"/>
    <w:rsid w:val="00F535AA"/>
    <w:rsid w:val="00F607CF"/>
    <w:rsid w:val="00F6526C"/>
    <w:rsid w:val="00F6632D"/>
    <w:rsid w:val="00F6720F"/>
    <w:rsid w:val="00F70CB1"/>
    <w:rsid w:val="00F70F55"/>
    <w:rsid w:val="00F71C39"/>
    <w:rsid w:val="00F72A4D"/>
    <w:rsid w:val="00F738DB"/>
    <w:rsid w:val="00F74F5C"/>
    <w:rsid w:val="00F80EA0"/>
    <w:rsid w:val="00F856D7"/>
    <w:rsid w:val="00F861E3"/>
    <w:rsid w:val="00F87216"/>
    <w:rsid w:val="00F956CA"/>
    <w:rsid w:val="00F95D60"/>
    <w:rsid w:val="00F97370"/>
    <w:rsid w:val="00FA0622"/>
    <w:rsid w:val="00FA1AC4"/>
    <w:rsid w:val="00FA2163"/>
    <w:rsid w:val="00FA49E5"/>
    <w:rsid w:val="00FA7286"/>
    <w:rsid w:val="00FA7DCB"/>
    <w:rsid w:val="00FB3BA8"/>
    <w:rsid w:val="00FC50ED"/>
    <w:rsid w:val="00FC6D4F"/>
    <w:rsid w:val="00FD0D81"/>
    <w:rsid w:val="00FD17DD"/>
    <w:rsid w:val="00FD2DAB"/>
    <w:rsid w:val="00FD3DEC"/>
    <w:rsid w:val="00FD751A"/>
    <w:rsid w:val="00FE1772"/>
    <w:rsid w:val="00FE661F"/>
    <w:rsid w:val="00FF2278"/>
    <w:rsid w:val="00FF74DA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99EE"/>
  <w15:chartTrackingRefBased/>
  <w15:docId w15:val="{0F07A1DA-2CF0-4DCE-B9AC-05D47D78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E2"/>
    <w:pPr>
      <w:spacing w:before="120" w:after="12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4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4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4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4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40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40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6C"/>
    <w:rPr>
      <w:rFonts w:asciiTheme="majorHAnsi" w:eastAsiaTheme="majorEastAsia" w:hAnsiTheme="majorHAnsi" w:cstheme="majorBidi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1C6C"/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32E64"/>
    <w:rPr>
      <w:rFonts w:eastAsiaTheme="majorEastAsia" w:cstheme="majorBidi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40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40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40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40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40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40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740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4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4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40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87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40D"/>
    <w:rPr>
      <w:rFonts w:ascii="Calibri" w:hAnsi="Calibri"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87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40D"/>
    <w:rPr>
      <w:rFonts w:ascii="Calibri" w:hAnsi="Calibri"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874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2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2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D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3D97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3D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93D97"/>
    <w:rPr>
      <w:rFonts w:ascii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AB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AB4"/>
    <w:rPr>
      <w:rFonts w:ascii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36A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002"/>
    <w:rPr>
      <w:rFonts w:ascii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02"/>
    <w:rPr>
      <w:rFonts w:ascii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152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41389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002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6BBF-BCD0-44D3-959D-5E5FD39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Winn</dc:creator>
  <cp:keywords/>
  <dc:description/>
  <cp:lastModifiedBy>Daniel Winn</cp:lastModifiedBy>
  <cp:revision>6</cp:revision>
  <cp:lastPrinted>2025-07-10T15:25:00Z</cp:lastPrinted>
  <dcterms:created xsi:type="dcterms:W3CDTF">2025-07-25T16:34:00Z</dcterms:created>
  <dcterms:modified xsi:type="dcterms:W3CDTF">2025-07-25T18:45:00Z</dcterms:modified>
</cp:coreProperties>
</file>